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1B" w:rsidRDefault="00276047" w:rsidP="006C688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We are pleased to confirm the following exceptional </w:t>
      </w:r>
      <w:r w:rsidR="003B09FB">
        <w:rPr>
          <w:b/>
          <w:sz w:val="24"/>
          <w:szCs w:val="24"/>
        </w:rPr>
        <w:t>circumstances</w:t>
      </w:r>
      <w:r>
        <w:rPr>
          <w:b/>
          <w:sz w:val="24"/>
          <w:szCs w:val="24"/>
        </w:rPr>
        <w:t xml:space="preserve"> have been extended to 31 December 2018.</w:t>
      </w:r>
    </w:p>
    <w:p w:rsidR="00E3021B" w:rsidRDefault="00E3021B" w:rsidP="006C6884">
      <w:pPr>
        <w:rPr>
          <w:b/>
          <w:sz w:val="24"/>
          <w:szCs w:val="24"/>
        </w:rPr>
      </w:pPr>
    </w:p>
    <w:p w:rsidR="000C204B" w:rsidRPr="000C204B" w:rsidRDefault="000C204B" w:rsidP="006C6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Pullets</w:t>
      </w:r>
    </w:p>
    <w:p w:rsidR="000C204B" w:rsidRDefault="000C204B" w:rsidP="006C6884">
      <w:pPr>
        <w:rPr>
          <w:sz w:val="24"/>
          <w:szCs w:val="24"/>
        </w:rPr>
      </w:pPr>
    </w:p>
    <w:p w:rsidR="00AE4FDD" w:rsidRPr="009679C9" w:rsidRDefault="00414EB5" w:rsidP="006C6884">
      <w:pPr>
        <w:rPr>
          <w:sz w:val="24"/>
          <w:szCs w:val="24"/>
        </w:rPr>
      </w:pPr>
      <w:r w:rsidRPr="009679C9">
        <w:rPr>
          <w:sz w:val="24"/>
          <w:szCs w:val="24"/>
        </w:rPr>
        <w:t>The Commission Implementing Regulations (*EU) 2017/2273 of 8 December 2017 states:</w:t>
      </w:r>
    </w:p>
    <w:p w:rsidR="00414EB5" w:rsidRPr="009679C9" w:rsidRDefault="00414EB5" w:rsidP="00414EB5">
      <w:pPr>
        <w:pStyle w:val="NoSpacing"/>
        <w:rPr>
          <w:sz w:val="24"/>
          <w:szCs w:val="24"/>
        </w:rPr>
      </w:pPr>
    </w:p>
    <w:p w:rsidR="00414EB5" w:rsidRPr="009679C9" w:rsidRDefault="00414EB5" w:rsidP="00414EB5">
      <w:pPr>
        <w:pStyle w:val="NoSpacing"/>
        <w:rPr>
          <w:sz w:val="24"/>
          <w:szCs w:val="24"/>
        </w:rPr>
      </w:pPr>
      <w:r w:rsidRPr="009679C9">
        <w:rPr>
          <w:sz w:val="24"/>
          <w:szCs w:val="24"/>
        </w:rPr>
        <w:t xml:space="preserve">Under certain conditions and when organic reared pullets are not available, </w:t>
      </w:r>
      <w:proofErr w:type="spellStart"/>
      <w:proofErr w:type="gramStart"/>
      <w:r w:rsidRPr="009679C9">
        <w:rPr>
          <w:sz w:val="24"/>
          <w:szCs w:val="24"/>
        </w:rPr>
        <w:t>non organically</w:t>
      </w:r>
      <w:proofErr w:type="spellEnd"/>
      <w:proofErr w:type="gramEnd"/>
      <w:r w:rsidRPr="009679C9">
        <w:rPr>
          <w:sz w:val="24"/>
          <w:szCs w:val="24"/>
        </w:rPr>
        <w:t xml:space="preserve"> reared pullets for egg production of not more than 18 weeks </w:t>
      </w:r>
      <w:r w:rsidR="009679C9">
        <w:rPr>
          <w:sz w:val="24"/>
          <w:szCs w:val="24"/>
        </w:rPr>
        <w:t>may</w:t>
      </w:r>
      <w:r w:rsidRPr="009679C9">
        <w:rPr>
          <w:sz w:val="24"/>
          <w:szCs w:val="24"/>
        </w:rPr>
        <w:t xml:space="preserve"> be brought into an organic livestock unit.</w:t>
      </w:r>
    </w:p>
    <w:p w:rsidR="00414EB5" w:rsidRPr="009679C9" w:rsidRDefault="00414EB5" w:rsidP="00414EB5">
      <w:pPr>
        <w:pStyle w:val="NoSpacing"/>
        <w:rPr>
          <w:sz w:val="24"/>
          <w:szCs w:val="24"/>
        </w:rPr>
      </w:pPr>
    </w:p>
    <w:p w:rsidR="00414EB5" w:rsidRPr="009679C9" w:rsidRDefault="00414EB5" w:rsidP="00414EB5">
      <w:pPr>
        <w:pStyle w:val="NoSpacing"/>
        <w:rPr>
          <w:sz w:val="24"/>
          <w:szCs w:val="24"/>
        </w:rPr>
      </w:pPr>
      <w:r w:rsidRPr="009679C9">
        <w:rPr>
          <w:sz w:val="24"/>
          <w:szCs w:val="24"/>
        </w:rPr>
        <w:t xml:space="preserve">The period of application of the exceptional production rules for using </w:t>
      </w:r>
      <w:proofErr w:type="gramStart"/>
      <w:r w:rsidRPr="009679C9">
        <w:rPr>
          <w:sz w:val="24"/>
          <w:szCs w:val="24"/>
        </w:rPr>
        <w:t>non</w:t>
      </w:r>
      <w:r w:rsidR="00B16887">
        <w:rPr>
          <w:sz w:val="24"/>
          <w:szCs w:val="24"/>
        </w:rPr>
        <w:t xml:space="preserve"> </w:t>
      </w:r>
      <w:r w:rsidRPr="009679C9">
        <w:rPr>
          <w:sz w:val="24"/>
          <w:szCs w:val="24"/>
        </w:rPr>
        <w:t>organically</w:t>
      </w:r>
      <w:proofErr w:type="gramEnd"/>
      <w:r w:rsidRPr="009679C9">
        <w:rPr>
          <w:sz w:val="24"/>
          <w:szCs w:val="24"/>
        </w:rPr>
        <w:t xml:space="preserve"> reared pullets for egg production of not more than 18 weeks is extended until </w:t>
      </w:r>
      <w:r w:rsidRPr="009679C9">
        <w:rPr>
          <w:b/>
          <w:sz w:val="24"/>
          <w:szCs w:val="24"/>
        </w:rPr>
        <w:t>31 December 2018.</w:t>
      </w:r>
    </w:p>
    <w:p w:rsidR="00414EB5" w:rsidRPr="009679C9" w:rsidRDefault="00414EB5" w:rsidP="00414EB5">
      <w:pPr>
        <w:pStyle w:val="NoSpacing"/>
        <w:rPr>
          <w:sz w:val="24"/>
          <w:szCs w:val="24"/>
        </w:rPr>
      </w:pPr>
    </w:p>
    <w:p w:rsidR="00414EB5" w:rsidRPr="009679C9" w:rsidRDefault="00414EB5" w:rsidP="00414EB5">
      <w:pPr>
        <w:pStyle w:val="NoSpacing"/>
        <w:rPr>
          <w:sz w:val="24"/>
          <w:szCs w:val="24"/>
        </w:rPr>
      </w:pPr>
      <w:r w:rsidRPr="009679C9">
        <w:rPr>
          <w:sz w:val="24"/>
          <w:szCs w:val="24"/>
        </w:rPr>
        <w:t xml:space="preserve">Derogations will be considered by Defra.  </w:t>
      </w:r>
      <w:r w:rsidRPr="009679C9">
        <w:rPr>
          <w:b/>
          <w:sz w:val="24"/>
          <w:szCs w:val="24"/>
        </w:rPr>
        <w:t>Do not send requests directly to Defra</w:t>
      </w:r>
      <w:r w:rsidRPr="009679C9">
        <w:rPr>
          <w:sz w:val="24"/>
          <w:szCs w:val="24"/>
        </w:rPr>
        <w:t xml:space="preserve"> as we will send all the information for approval on your behalf</w:t>
      </w:r>
      <w:r w:rsidR="000C204B">
        <w:rPr>
          <w:sz w:val="24"/>
          <w:szCs w:val="24"/>
        </w:rPr>
        <w:t>.</w:t>
      </w:r>
    </w:p>
    <w:p w:rsidR="00404308" w:rsidRPr="009679C9" w:rsidRDefault="00404308" w:rsidP="00414EB5">
      <w:pPr>
        <w:pStyle w:val="NoSpacing"/>
        <w:rPr>
          <w:sz w:val="24"/>
          <w:szCs w:val="24"/>
        </w:rPr>
      </w:pPr>
    </w:p>
    <w:p w:rsidR="00404308" w:rsidRPr="009679C9" w:rsidRDefault="00404308" w:rsidP="000C204B">
      <w:pPr>
        <w:rPr>
          <w:rFonts w:cs="Arial"/>
          <w:sz w:val="24"/>
          <w:szCs w:val="24"/>
        </w:rPr>
      </w:pPr>
      <w:r w:rsidRPr="009679C9">
        <w:rPr>
          <w:rFonts w:cs="Arial"/>
          <w:sz w:val="24"/>
          <w:szCs w:val="24"/>
        </w:rPr>
        <w:t>Applications should be made on</w:t>
      </w:r>
      <w:r w:rsidR="009679C9" w:rsidRPr="009679C9">
        <w:rPr>
          <w:rFonts w:cs="Arial"/>
          <w:sz w:val="24"/>
          <w:szCs w:val="24"/>
        </w:rPr>
        <w:t xml:space="preserve"> form</w:t>
      </w:r>
      <w:r w:rsidRPr="009679C9">
        <w:rPr>
          <w:rFonts w:cs="Arial"/>
          <w:sz w:val="24"/>
          <w:szCs w:val="24"/>
        </w:rPr>
        <w:t xml:space="preserve"> </w:t>
      </w:r>
      <w:hyperlink r:id="rId7" w:history="1">
        <w:r w:rsidR="009679C9" w:rsidRPr="009679C9">
          <w:rPr>
            <w:rStyle w:val="Hyperlink"/>
            <w:rFonts w:cs="Arial"/>
            <w:color w:val="auto"/>
            <w:sz w:val="24"/>
            <w:szCs w:val="24"/>
            <w:u w:val="none"/>
          </w:rPr>
          <w:t>0563 Request for Derogation for the Purchase of Non-Organic Day Old Chicks</w:t>
        </w:r>
      </w:hyperlink>
      <w:r w:rsidR="009679C9" w:rsidRPr="009679C9">
        <w:rPr>
          <w:rFonts w:cs="Arial"/>
          <w:sz w:val="24"/>
          <w:szCs w:val="24"/>
        </w:rPr>
        <w:t xml:space="preserve"> which can be downloaded from our website </w:t>
      </w:r>
      <w:hyperlink r:id="rId8" w:history="1">
        <w:r w:rsidR="009679C9" w:rsidRPr="009679C9">
          <w:rPr>
            <w:rStyle w:val="Hyperlink"/>
            <w:rFonts w:cs="Arial"/>
            <w:color w:val="auto"/>
            <w:sz w:val="24"/>
            <w:szCs w:val="24"/>
            <w:u w:val="none"/>
          </w:rPr>
          <w:t>www.orgfoodfed.com</w:t>
        </w:r>
      </w:hyperlink>
      <w:r w:rsidR="009679C9" w:rsidRPr="009679C9">
        <w:rPr>
          <w:rFonts w:cs="Arial"/>
          <w:sz w:val="24"/>
          <w:szCs w:val="24"/>
        </w:rPr>
        <w:t xml:space="preserve"> : downloads.  </w:t>
      </w:r>
      <w:r w:rsidR="009679C9" w:rsidRPr="009679C9">
        <w:rPr>
          <w:sz w:val="24"/>
          <w:szCs w:val="24"/>
        </w:rPr>
        <w:t>For part organic pullets a copy of the supplier’s declaration that they have been managed to the organic feed and vet standard</w:t>
      </w:r>
      <w:r w:rsidR="000C204B">
        <w:rPr>
          <w:sz w:val="24"/>
          <w:szCs w:val="24"/>
        </w:rPr>
        <w:t xml:space="preserve"> is also required.</w:t>
      </w:r>
    </w:p>
    <w:p w:rsidR="009679C9" w:rsidRDefault="009679C9" w:rsidP="00414EB5">
      <w:pPr>
        <w:pStyle w:val="NoSpacing"/>
        <w:rPr>
          <w:rFonts w:cs="Arial"/>
          <w:b/>
          <w:sz w:val="24"/>
          <w:szCs w:val="24"/>
        </w:rPr>
      </w:pPr>
    </w:p>
    <w:p w:rsidR="000C204B" w:rsidRDefault="000C204B" w:rsidP="00414EB5">
      <w:pPr>
        <w:pStyle w:val="NoSpacing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Feed</w:t>
      </w:r>
      <w:r w:rsidR="00B16887">
        <w:rPr>
          <w:rFonts w:cs="Arial"/>
          <w:b/>
          <w:sz w:val="24"/>
          <w:szCs w:val="24"/>
        </w:rPr>
        <w:t xml:space="preserve"> :</w:t>
      </w:r>
      <w:proofErr w:type="gramEnd"/>
      <w:r w:rsidR="00B16887">
        <w:rPr>
          <w:rFonts w:cs="Arial"/>
          <w:b/>
          <w:sz w:val="24"/>
          <w:szCs w:val="24"/>
        </w:rPr>
        <w:t xml:space="preserve"> Pig and Poultry Species</w:t>
      </w:r>
    </w:p>
    <w:p w:rsidR="00B16887" w:rsidRDefault="00B16887" w:rsidP="00414EB5">
      <w:pPr>
        <w:pStyle w:val="NoSpacing"/>
        <w:rPr>
          <w:rFonts w:cs="Arial"/>
          <w:b/>
          <w:sz w:val="24"/>
          <w:szCs w:val="24"/>
        </w:rPr>
      </w:pPr>
    </w:p>
    <w:p w:rsidR="00B16887" w:rsidRDefault="00B16887" w:rsidP="00414EB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Organic protein supply has not been available in sufficient quality and quantity to meet the nutritional requirements of pigs and poultry raised on organic farms.</w:t>
      </w:r>
    </w:p>
    <w:p w:rsidR="00B16887" w:rsidRDefault="00B16887" w:rsidP="00414EB5">
      <w:pPr>
        <w:pStyle w:val="NoSpacing"/>
        <w:rPr>
          <w:rFonts w:cs="Arial"/>
          <w:sz w:val="24"/>
          <w:szCs w:val="24"/>
        </w:rPr>
      </w:pPr>
    </w:p>
    <w:p w:rsidR="00B16887" w:rsidRPr="00B16887" w:rsidRDefault="00B16887" w:rsidP="00414EB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period of the exceptional possibility of using a </w:t>
      </w:r>
      <w:r w:rsidR="00EB4B62">
        <w:rPr>
          <w:rFonts w:cs="Arial"/>
          <w:sz w:val="24"/>
          <w:szCs w:val="24"/>
        </w:rPr>
        <w:t xml:space="preserve">maximum of 5% of </w:t>
      </w:r>
      <w:proofErr w:type="spellStart"/>
      <w:r w:rsidR="00EB4B62">
        <w:rPr>
          <w:rFonts w:cs="Arial"/>
          <w:sz w:val="24"/>
          <w:szCs w:val="24"/>
        </w:rPr>
        <w:t>non organic</w:t>
      </w:r>
      <w:proofErr w:type="spellEnd"/>
      <w:r w:rsidR="00EB4B62">
        <w:rPr>
          <w:rFonts w:cs="Arial"/>
          <w:sz w:val="24"/>
          <w:szCs w:val="24"/>
        </w:rPr>
        <w:t xml:space="preserve"> protein feed</w:t>
      </w:r>
      <w:r>
        <w:rPr>
          <w:rFonts w:cs="Arial"/>
          <w:sz w:val="24"/>
          <w:szCs w:val="24"/>
        </w:rPr>
        <w:t xml:space="preserve"> is extended until 31 December 2018.</w:t>
      </w:r>
    </w:p>
    <w:p w:rsidR="000C204B" w:rsidRDefault="000C204B" w:rsidP="00414EB5">
      <w:pPr>
        <w:pStyle w:val="NoSpacing"/>
        <w:rPr>
          <w:rFonts w:cs="Arial"/>
          <w:b/>
          <w:sz w:val="24"/>
          <w:szCs w:val="24"/>
        </w:rPr>
      </w:pPr>
    </w:p>
    <w:p w:rsidR="000C204B" w:rsidRPr="000C204B" w:rsidRDefault="000C204B" w:rsidP="00414EB5">
      <w:pPr>
        <w:pStyle w:val="NoSpacing"/>
        <w:rPr>
          <w:rFonts w:cs="Arial"/>
          <w:b/>
          <w:sz w:val="24"/>
          <w:szCs w:val="24"/>
        </w:rPr>
      </w:pPr>
    </w:p>
    <w:sectPr w:rsidR="000C204B" w:rsidRPr="000C204B" w:rsidSect="00EA67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1B" w:rsidRDefault="00E3021B" w:rsidP="00104C24">
      <w:r>
        <w:separator/>
      </w:r>
    </w:p>
  </w:endnote>
  <w:endnote w:type="continuationSeparator" w:id="0">
    <w:p w:rsidR="00E3021B" w:rsidRDefault="00E3021B" w:rsidP="0010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E3021B" w:rsidRDefault="00E3021B" w:rsidP="00310943">
        <w:pPr>
          <w:ind w:left="7200"/>
        </w:pPr>
        <w:r w:rsidRPr="00310943">
          <w:rPr>
            <w:sz w:val="16"/>
            <w:szCs w:val="16"/>
          </w:rPr>
          <w:t xml:space="preserve">Page </w:t>
        </w:r>
        <w:r w:rsidRPr="00310943">
          <w:rPr>
            <w:sz w:val="16"/>
            <w:szCs w:val="16"/>
          </w:rPr>
          <w:fldChar w:fldCharType="begin"/>
        </w:r>
        <w:r w:rsidRPr="00310943">
          <w:rPr>
            <w:sz w:val="16"/>
            <w:szCs w:val="16"/>
          </w:rPr>
          <w:instrText xml:space="preserve"> PAGE </w:instrText>
        </w:r>
        <w:r w:rsidRPr="00310943">
          <w:rPr>
            <w:sz w:val="16"/>
            <w:szCs w:val="16"/>
          </w:rPr>
          <w:fldChar w:fldCharType="separate"/>
        </w:r>
        <w:r w:rsidR="00707EA0">
          <w:rPr>
            <w:noProof/>
            <w:sz w:val="16"/>
            <w:szCs w:val="16"/>
          </w:rPr>
          <w:t>1</w:t>
        </w:r>
        <w:r w:rsidRPr="00310943">
          <w:rPr>
            <w:sz w:val="16"/>
            <w:szCs w:val="16"/>
          </w:rPr>
          <w:fldChar w:fldCharType="end"/>
        </w:r>
        <w:r w:rsidRPr="00310943">
          <w:rPr>
            <w:sz w:val="16"/>
            <w:szCs w:val="16"/>
          </w:rPr>
          <w:t xml:space="preserve"> of </w:t>
        </w:r>
        <w:r w:rsidRPr="00310943">
          <w:rPr>
            <w:sz w:val="16"/>
            <w:szCs w:val="16"/>
          </w:rPr>
          <w:fldChar w:fldCharType="begin"/>
        </w:r>
        <w:r w:rsidRPr="00310943">
          <w:rPr>
            <w:sz w:val="16"/>
            <w:szCs w:val="16"/>
          </w:rPr>
          <w:instrText xml:space="preserve"> NUMPAGES  </w:instrText>
        </w:r>
        <w:r w:rsidRPr="00310943">
          <w:rPr>
            <w:sz w:val="16"/>
            <w:szCs w:val="16"/>
          </w:rPr>
          <w:fldChar w:fldCharType="separate"/>
        </w:r>
        <w:r w:rsidR="00707EA0">
          <w:rPr>
            <w:noProof/>
            <w:sz w:val="16"/>
            <w:szCs w:val="16"/>
          </w:rPr>
          <w:t>1</w:t>
        </w:r>
        <w:r w:rsidRPr="00310943">
          <w:rPr>
            <w:sz w:val="16"/>
            <w:szCs w:val="16"/>
          </w:rPr>
          <w:fldChar w:fldCharType="end"/>
        </w:r>
      </w:p>
    </w:sdtContent>
  </w:sdt>
  <w:p w:rsidR="00E3021B" w:rsidRDefault="00E30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1B" w:rsidRDefault="00E3021B" w:rsidP="00104C24">
      <w:r>
        <w:separator/>
      </w:r>
    </w:p>
  </w:footnote>
  <w:footnote w:type="continuationSeparator" w:id="0">
    <w:p w:rsidR="00E3021B" w:rsidRDefault="00E3021B" w:rsidP="0010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1B" w:rsidRPr="00310943" w:rsidRDefault="00707EA0" w:rsidP="00310943">
    <w:pPr>
      <w:pStyle w:val="Header"/>
      <w:spacing w:after="120"/>
      <w:jc w:val="center"/>
      <w:rPr>
        <w:rFonts w:ascii="Tahoma" w:hAnsi="Tahoma" w:cs="Tahoma"/>
        <w:bCs/>
        <w:color w:val="006600"/>
        <w:sz w:val="52"/>
      </w:rPr>
    </w:pPr>
    <w:r>
      <w:rPr>
        <w:rFonts w:ascii="Tahoma" w:hAnsi="Tahoma" w:cs="Tahoma"/>
        <w:bCs/>
        <w:noProof/>
        <w:color w:val="006600"/>
        <w:sz w:val="52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8.1pt;margin-top:-17.8pt;width:1in;height:69.3pt;z-index:-251658752;mso-wrap-edited:f" wrapcoords="-408 0 -408 21176 21600 21176 21600 0 -408 0">
          <v:imagedata r:id="rId1" o:title=""/>
        </v:shape>
        <o:OLEObject Type="Embed" ProgID="Word.Picture.8" ShapeID="_x0000_s2050" DrawAspect="Content" ObjectID="_1574672107" r:id="rId2"/>
      </w:object>
    </w:r>
    <w:r w:rsidR="00E3021B" w:rsidRPr="00310943">
      <w:rPr>
        <w:rFonts w:ascii="Tahoma" w:hAnsi="Tahoma" w:cs="Tahoma"/>
        <w:bCs/>
        <w:color w:val="006600"/>
        <w:sz w:val="52"/>
      </w:rPr>
      <w:t>Organic Food Federation</w:t>
    </w:r>
  </w:p>
  <w:p w:rsidR="00E3021B" w:rsidRPr="00310943" w:rsidRDefault="00E3021B" w:rsidP="00310943">
    <w:pPr>
      <w:pStyle w:val="Header"/>
      <w:jc w:val="center"/>
      <w:rPr>
        <w:rFonts w:cs="Arial"/>
        <w:b/>
        <w:sz w:val="32"/>
        <w:szCs w:val="32"/>
      </w:rPr>
    </w:pPr>
    <w:r w:rsidRPr="00310943">
      <w:rPr>
        <w:rFonts w:cs="Arial"/>
        <w:b/>
        <w:sz w:val="32"/>
        <w:szCs w:val="32"/>
      </w:rPr>
      <w:t xml:space="preserve">Information Sheet </w:t>
    </w:r>
  </w:p>
  <w:p w:rsidR="00E3021B" w:rsidRDefault="00E3021B" w:rsidP="00104C24">
    <w:pPr>
      <w:pStyle w:val="Header"/>
      <w:jc w:val="center"/>
      <w:rPr>
        <w:rFonts w:cs="Arial"/>
        <w:b/>
        <w:sz w:val="28"/>
        <w:szCs w:val="28"/>
      </w:rPr>
    </w:pPr>
  </w:p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5103"/>
      <w:gridCol w:w="3544"/>
    </w:tblGrid>
    <w:tr w:rsidR="00E3021B" w:rsidRPr="00CE1A62" w:rsidTr="00F834A7">
      <w:tc>
        <w:tcPr>
          <w:tcW w:w="959" w:type="dxa"/>
          <w:vAlign w:val="center"/>
          <w:hideMark/>
        </w:tcPr>
        <w:p w:rsidR="00E3021B" w:rsidRPr="00CE1A62" w:rsidRDefault="00E3021B">
          <w:pPr>
            <w:pStyle w:val="Header"/>
            <w:rPr>
              <w:rFonts w:cs="Arial"/>
              <w:b/>
              <w:sz w:val="24"/>
              <w:szCs w:val="24"/>
            </w:rPr>
          </w:pPr>
          <w:r w:rsidRPr="00CE1A62">
            <w:rPr>
              <w:rFonts w:cs="Arial"/>
              <w:b/>
              <w:sz w:val="24"/>
              <w:szCs w:val="24"/>
            </w:rPr>
            <w:t>Issue</w:t>
          </w:r>
        </w:p>
      </w:tc>
      <w:tc>
        <w:tcPr>
          <w:tcW w:w="5103" w:type="dxa"/>
          <w:vAlign w:val="center"/>
          <w:hideMark/>
        </w:tcPr>
        <w:p w:rsidR="00E3021B" w:rsidRPr="00CE1A62" w:rsidRDefault="00E3021B" w:rsidP="00E8026C">
          <w:pPr>
            <w:pStyle w:val="Header"/>
            <w:rPr>
              <w:rFonts w:cs="Arial"/>
              <w:b/>
              <w:sz w:val="24"/>
              <w:szCs w:val="24"/>
            </w:rPr>
          </w:pPr>
        </w:p>
      </w:tc>
      <w:tc>
        <w:tcPr>
          <w:tcW w:w="3544" w:type="dxa"/>
          <w:vAlign w:val="center"/>
          <w:hideMark/>
        </w:tcPr>
        <w:p w:rsidR="00E3021B" w:rsidRPr="00CE1A62" w:rsidRDefault="00E3021B">
          <w:pPr>
            <w:pStyle w:val="Header"/>
            <w:rPr>
              <w:rFonts w:cs="Arial"/>
              <w:b/>
              <w:sz w:val="24"/>
              <w:szCs w:val="24"/>
            </w:rPr>
          </w:pPr>
          <w:r w:rsidRPr="00CE1A62">
            <w:rPr>
              <w:rFonts w:cs="Arial"/>
              <w:b/>
              <w:sz w:val="24"/>
              <w:szCs w:val="24"/>
            </w:rPr>
            <w:t>Issue Date</w:t>
          </w:r>
          <w:r>
            <w:rPr>
              <w:rFonts w:cs="Arial"/>
              <w:b/>
              <w:sz w:val="24"/>
              <w:szCs w:val="24"/>
            </w:rPr>
            <w:t xml:space="preserve">   </w:t>
          </w:r>
        </w:p>
      </w:tc>
    </w:tr>
    <w:tr w:rsidR="00E3021B" w:rsidRPr="00CE1A62" w:rsidTr="00F834A7">
      <w:tc>
        <w:tcPr>
          <w:tcW w:w="959" w:type="dxa"/>
          <w:vAlign w:val="center"/>
        </w:tcPr>
        <w:p w:rsidR="00E3021B" w:rsidRPr="00CE1A62" w:rsidRDefault="00E3021B">
          <w:pPr>
            <w:pStyle w:val="Head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05</w:t>
          </w:r>
        </w:p>
      </w:tc>
      <w:tc>
        <w:tcPr>
          <w:tcW w:w="5103" w:type="dxa"/>
          <w:vAlign w:val="center"/>
        </w:tcPr>
        <w:p w:rsidR="00E3021B" w:rsidRDefault="00E3021B" w:rsidP="00E8026C">
          <w:pPr>
            <w:pStyle w:val="Header"/>
            <w:rPr>
              <w:rFonts w:cs="Arial"/>
              <w:b/>
              <w:sz w:val="24"/>
              <w:szCs w:val="24"/>
            </w:rPr>
          </w:pPr>
        </w:p>
      </w:tc>
      <w:tc>
        <w:tcPr>
          <w:tcW w:w="3544" w:type="dxa"/>
          <w:vAlign w:val="center"/>
        </w:tcPr>
        <w:p w:rsidR="00E3021B" w:rsidRPr="00CE1A62" w:rsidRDefault="00E3021B">
          <w:pPr>
            <w:pStyle w:val="Head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13/12/2017</w:t>
          </w:r>
        </w:p>
      </w:tc>
    </w:tr>
  </w:tbl>
  <w:p w:rsidR="00E3021B" w:rsidRDefault="00E30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1" w15:restartNumberingAfterBreak="0">
    <w:nsid w:val="06ED5A9E"/>
    <w:multiLevelType w:val="hybridMultilevel"/>
    <w:tmpl w:val="A0B00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7007A"/>
    <w:multiLevelType w:val="hybridMultilevel"/>
    <w:tmpl w:val="E010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235"/>
    <w:multiLevelType w:val="hybridMultilevel"/>
    <w:tmpl w:val="683AFB7A"/>
    <w:lvl w:ilvl="0" w:tplc="2BF02056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C9020E4C">
      <w:start w:val="1"/>
      <w:numFmt w:val="bullet"/>
      <w:lvlText w:val="•"/>
      <w:lvlJc w:val="left"/>
      <w:rPr>
        <w:rFonts w:hint="default"/>
      </w:rPr>
    </w:lvl>
    <w:lvl w:ilvl="2" w:tplc="C9F69A2E">
      <w:start w:val="1"/>
      <w:numFmt w:val="bullet"/>
      <w:lvlText w:val="•"/>
      <w:lvlJc w:val="left"/>
      <w:rPr>
        <w:rFonts w:hint="default"/>
      </w:rPr>
    </w:lvl>
    <w:lvl w:ilvl="3" w:tplc="7E04C4CE">
      <w:start w:val="1"/>
      <w:numFmt w:val="bullet"/>
      <w:lvlText w:val="•"/>
      <w:lvlJc w:val="left"/>
      <w:rPr>
        <w:rFonts w:hint="default"/>
      </w:rPr>
    </w:lvl>
    <w:lvl w:ilvl="4" w:tplc="CF64ED18">
      <w:start w:val="1"/>
      <w:numFmt w:val="bullet"/>
      <w:lvlText w:val="•"/>
      <w:lvlJc w:val="left"/>
      <w:rPr>
        <w:rFonts w:hint="default"/>
      </w:rPr>
    </w:lvl>
    <w:lvl w:ilvl="5" w:tplc="72689C6A">
      <w:start w:val="1"/>
      <w:numFmt w:val="bullet"/>
      <w:lvlText w:val="•"/>
      <w:lvlJc w:val="left"/>
      <w:rPr>
        <w:rFonts w:hint="default"/>
      </w:rPr>
    </w:lvl>
    <w:lvl w:ilvl="6" w:tplc="2488F7A4">
      <w:start w:val="1"/>
      <w:numFmt w:val="bullet"/>
      <w:lvlText w:val="•"/>
      <w:lvlJc w:val="left"/>
      <w:rPr>
        <w:rFonts w:hint="default"/>
      </w:rPr>
    </w:lvl>
    <w:lvl w:ilvl="7" w:tplc="E4ECF78C">
      <w:start w:val="1"/>
      <w:numFmt w:val="bullet"/>
      <w:lvlText w:val="•"/>
      <w:lvlJc w:val="left"/>
      <w:rPr>
        <w:rFonts w:hint="default"/>
      </w:rPr>
    </w:lvl>
    <w:lvl w:ilvl="8" w:tplc="6FCEB1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FB2C55"/>
    <w:multiLevelType w:val="hybridMultilevel"/>
    <w:tmpl w:val="CE261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D45"/>
    <w:multiLevelType w:val="hybridMultilevel"/>
    <w:tmpl w:val="2B107BA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B014D"/>
    <w:multiLevelType w:val="hybridMultilevel"/>
    <w:tmpl w:val="1EE80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6123"/>
    <w:multiLevelType w:val="hybridMultilevel"/>
    <w:tmpl w:val="1CA68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45C36"/>
    <w:multiLevelType w:val="hybridMultilevel"/>
    <w:tmpl w:val="32B49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24"/>
    <w:rsid w:val="000203EE"/>
    <w:rsid w:val="000641E1"/>
    <w:rsid w:val="0007799A"/>
    <w:rsid w:val="000A42E1"/>
    <w:rsid w:val="000C204B"/>
    <w:rsid w:val="00104C24"/>
    <w:rsid w:val="001938B4"/>
    <w:rsid w:val="00276047"/>
    <w:rsid w:val="00277DA0"/>
    <w:rsid w:val="002C17CE"/>
    <w:rsid w:val="003055EE"/>
    <w:rsid w:val="00310943"/>
    <w:rsid w:val="00341B62"/>
    <w:rsid w:val="00355EFD"/>
    <w:rsid w:val="00373432"/>
    <w:rsid w:val="00397367"/>
    <w:rsid w:val="003B09FB"/>
    <w:rsid w:val="003C20E8"/>
    <w:rsid w:val="00404308"/>
    <w:rsid w:val="00414EB5"/>
    <w:rsid w:val="004376EA"/>
    <w:rsid w:val="004A05B5"/>
    <w:rsid w:val="005177AA"/>
    <w:rsid w:val="005B4694"/>
    <w:rsid w:val="005C4DA5"/>
    <w:rsid w:val="006C13F9"/>
    <w:rsid w:val="006C6884"/>
    <w:rsid w:val="006E05C4"/>
    <w:rsid w:val="00707EA0"/>
    <w:rsid w:val="00791DB9"/>
    <w:rsid w:val="007E074A"/>
    <w:rsid w:val="00845893"/>
    <w:rsid w:val="00847419"/>
    <w:rsid w:val="009679C9"/>
    <w:rsid w:val="00981F96"/>
    <w:rsid w:val="009C405C"/>
    <w:rsid w:val="00AE4FDD"/>
    <w:rsid w:val="00AF7449"/>
    <w:rsid w:val="00B07A8E"/>
    <w:rsid w:val="00B16887"/>
    <w:rsid w:val="00B21580"/>
    <w:rsid w:val="00B2287F"/>
    <w:rsid w:val="00BB5E1E"/>
    <w:rsid w:val="00C11031"/>
    <w:rsid w:val="00C4746C"/>
    <w:rsid w:val="00CB4EB2"/>
    <w:rsid w:val="00CE1A62"/>
    <w:rsid w:val="00D10BEC"/>
    <w:rsid w:val="00E3021B"/>
    <w:rsid w:val="00E8026C"/>
    <w:rsid w:val="00EA674E"/>
    <w:rsid w:val="00EB4B62"/>
    <w:rsid w:val="00F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022D2A6-ED23-4D43-BDE9-D6144577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D10BE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277DA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7DA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7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BEC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0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0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4"/>
    <w:rPr>
      <w:rFonts w:ascii="Arial" w:hAnsi="Arial"/>
    </w:rPr>
  </w:style>
  <w:style w:type="table" w:styleId="TableGrid">
    <w:name w:val="Table Grid"/>
    <w:basedOn w:val="TableNormal"/>
    <w:uiPriority w:val="59"/>
    <w:rsid w:val="0010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6">
    <w:name w:val="Pa6"/>
    <w:basedOn w:val="Normal"/>
    <w:next w:val="Normal"/>
    <w:uiPriority w:val="99"/>
    <w:rsid w:val="00B2287F"/>
    <w:pPr>
      <w:autoSpaceDE w:val="0"/>
      <w:autoSpaceDN w:val="0"/>
      <w:adjustRightInd w:val="0"/>
      <w:spacing w:line="221" w:lineRule="atLeast"/>
    </w:pPr>
    <w:rPr>
      <w:rFonts w:ascii="Verdana" w:hAnsi="Verdana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2287F"/>
    <w:pPr>
      <w:autoSpaceDE w:val="0"/>
      <w:autoSpaceDN w:val="0"/>
      <w:adjustRightInd w:val="0"/>
      <w:spacing w:line="236" w:lineRule="atLeast"/>
    </w:pPr>
    <w:rPr>
      <w:rFonts w:ascii="Verdana" w:hAnsi="Verdana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B2287F"/>
    <w:pPr>
      <w:autoSpaceDE w:val="0"/>
      <w:autoSpaceDN w:val="0"/>
      <w:adjustRightInd w:val="0"/>
      <w:spacing w:line="241" w:lineRule="atLeast"/>
    </w:pPr>
    <w:rPr>
      <w:rFonts w:ascii="Verdana" w:hAnsi="Verdana"/>
      <w:sz w:val="24"/>
      <w:szCs w:val="24"/>
    </w:rPr>
  </w:style>
  <w:style w:type="character" w:customStyle="1" w:styleId="A7">
    <w:name w:val="A7"/>
    <w:uiPriority w:val="99"/>
    <w:rsid w:val="00B2287F"/>
    <w:rPr>
      <w:rFonts w:cs="Verdana"/>
      <w:b/>
      <w:bCs/>
      <w:color w:val="221E1F"/>
      <w:sz w:val="23"/>
      <w:szCs w:val="23"/>
    </w:rPr>
  </w:style>
  <w:style w:type="character" w:customStyle="1" w:styleId="A5">
    <w:name w:val="A5"/>
    <w:uiPriority w:val="99"/>
    <w:rsid w:val="005B4694"/>
    <w:rPr>
      <w:rFonts w:cs="Verdana"/>
      <w:b/>
      <w:bCs/>
      <w:color w:val="221E1F"/>
      <w:sz w:val="22"/>
      <w:szCs w:val="22"/>
    </w:rPr>
  </w:style>
  <w:style w:type="paragraph" w:customStyle="1" w:styleId="Default">
    <w:name w:val="Default"/>
    <w:rsid w:val="005B46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B4694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C40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77D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7D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48">
    <w:name w:val="CM48"/>
    <w:basedOn w:val="Default"/>
    <w:next w:val="Default"/>
    <w:uiPriority w:val="99"/>
    <w:rsid w:val="00277DA0"/>
    <w:pPr>
      <w:widowControl w:val="0"/>
    </w:pPr>
    <w:rPr>
      <w:rFonts w:ascii="EU Albertina" w:eastAsia="Times New Roman" w:hAnsi="EU Albertina" w:cs="Times New Roman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05C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7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77AA"/>
    <w:pPr>
      <w:spacing w:before="240" w:after="120" w:line="276" w:lineRule="auto"/>
    </w:pPr>
    <w:rPr>
      <w:rFonts w:eastAsia="Calibri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77AA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79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foodf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gfoodfed.com/wp-content/uploads/2016/02/0563-Request-for-Derogation-for-the-Purchase-of-Non-Organic-Day-Old-Chicks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Weldon</dc:creator>
  <cp:lastModifiedBy>Richard</cp:lastModifiedBy>
  <cp:revision>2</cp:revision>
  <cp:lastPrinted>2017-12-13T11:34:00Z</cp:lastPrinted>
  <dcterms:created xsi:type="dcterms:W3CDTF">2017-12-13T12:09:00Z</dcterms:created>
  <dcterms:modified xsi:type="dcterms:W3CDTF">2017-12-13T12:09:00Z</dcterms:modified>
</cp:coreProperties>
</file>